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A" w:rsidRDefault="0098730A" w:rsidP="0098730A">
      <w:pPr>
        <w:jc w:val="right"/>
        <w:rPr>
          <w:b/>
        </w:rPr>
      </w:pPr>
      <w:r>
        <w:rPr>
          <w:b/>
        </w:rPr>
        <w:t>Appendix 3</w:t>
      </w:r>
    </w:p>
    <w:p w:rsidR="00BA61A5" w:rsidRPr="00BA61A5" w:rsidRDefault="00BA61A5" w:rsidP="00BA61A5">
      <w:pPr>
        <w:jc w:val="center"/>
        <w:rPr>
          <w:b/>
        </w:rPr>
      </w:pPr>
      <w:r w:rsidRPr="00BA61A5">
        <w:rPr>
          <w:b/>
        </w:rPr>
        <w:t>Equality Benchmarking Data</w:t>
      </w:r>
    </w:p>
    <w:p w:rsidR="00BA61A5" w:rsidRDefault="00BA61A5"/>
    <w:p w:rsidR="00BA61A5" w:rsidRDefault="00BA61A5">
      <w:r>
        <w:t>Research was conducted across several Councils to attain benchmarking data across four protected characteristics:</w:t>
      </w:r>
    </w:p>
    <w:p w:rsidR="00BA61A5" w:rsidRDefault="00BA61A5"/>
    <w:p w:rsidR="00BA61A5" w:rsidRDefault="00BA61A5" w:rsidP="00BA61A5">
      <w:pPr>
        <w:pStyle w:val="ListParagraph"/>
        <w:numPr>
          <w:ilvl w:val="0"/>
          <w:numId w:val="4"/>
        </w:numPr>
      </w:pPr>
      <w:r>
        <w:t>Ethnicity</w:t>
      </w:r>
    </w:p>
    <w:p w:rsidR="00BA61A5" w:rsidRDefault="008F483C" w:rsidP="00BA61A5">
      <w:pPr>
        <w:pStyle w:val="ListParagraph"/>
        <w:numPr>
          <w:ilvl w:val="0"/>
          <w:numId w:val="4"/>
        </w:numPr>
      </w:pPr>
      <w:r>
        <w:t>Sex</w:t>
      </w:r>
    </w:p>
    <w:p w:rsidR="00BA61A5" w:rsidRDefault="00BA61A5" w:rsidP="00BA61A5">
      <w:pPr>
        <w:pStyle w:val="ListParagraph"/>
        <w:numPr>
          <w:ilvl w:val="0"/>
          <w:numId w:val="4"/>
        </w:numPr>
      </w:pPr>
      <w:r>
        <w:t>Disability</w:t>
      </w:r>
    </w:p>
    <w:p w:rsidR="00BA61A5" w:rsidRDefault="00BA61A5" w:rsidP="00BA61A5">
      <w:pPr>
        <w:pStyle w:val="ListParagraph"/>
        <w:numPr>
          <w:ilvl w:val="0"/>
          <w:numId w:val="4"/>
        </w:numPr>
      </w:pPr>
      <w:r>
        <w:t>Sexual Orientation</w:t>
      </w:r>
    </w:p>
    <w:p w:rsidR="00BA61A5" w:rsidRDefault="00BA61A5"/>
    <w:p w:rsidR="00BA61A5" w:rsidRDefault="00BA61A5">
      <w:r>
        <w:t>The following Councils were used:</w:t>
      </w:r>
    </w:p>
    <w:p w:rsidR="00BA61A5" w:rsidRDefault="00BA61A5"/>
    <w:p w:rsidR="00BA61A5" w:rsidRDefault="00BA61A5">
      <w:pPr>
        <w:rPr>
          <w:b/>
        </w:rPr>
      </w:pPr>
      <w:r w:rsidRPr="00BA61A5">
        <w:rPr>
          <w:b/>
        </w:rPr>
        <w:t>Name</w:t>
      </w:r>
      <w:r w:rsidRPr="00BA61A5">
        <w:rPr>
          <w:b/>
        </w:rPr>
        <w:tab/>
      </w:r>
      <w:r w:rsidRPr="00BA61A5">
        <w:rPr>
          <w:b/>
        </w:rPr>
        <w:tab/>
      </w:r>
      <w:r w:rsidRPr="00BA61A5">
        <w:rPr>
          <w:b/>
        </w:rPr>
        <w:tab/>
      </w:r>
      <w:r w:rsidRPr="00BA61A5">
        <w:rPr>
          <w:b/>
        </w:rPr>
        <w:tab/>
      </w:r>
      <w:r w:rsidRPr="00BA61A5">
        <w:rPr>
          <w:b/>
        </w:rPr>
        <w:tab/>
        <w:t>Headcount</w:t>
      </w:r>
      <w:r w:rsidRPr="00BA61A5">
        <w:rPr>
          <w:b/>
        </w:rPr>
        <w:tab/>
      </w:r>
      <w:r w:rsidR="00642C30">
        <w:rPr>
          <w:b/>
        </w:rPr>
        <w:tab/>
        <w:t>Census BAME</w:t>
      </w:r>
      <w:r w:rsidR="00642C30">
        <w:rPr>
          <w:b/>
        </w:rPr>
        <w:tab/>
      </w:r>
      <w:r w:rsidR="00642C30">
        <w:rPr>
          <w:b/>
        </w:rPr>
        <w:tab/>
        <w:t>Workforce data</w:t>
      </w:r>
      <w:r>
        <w:rPr>
          <w:b/>
        </w:rPr>
        <w:t xml:space="preserve"> BAME</w:t>
      </w:r>
    </w:p>
    <w:p w:rsidR="00BA61A5" w:rsidRDefault="00BA61A5">
      <w:r w:rsidRPr="0098730A">
        <w:rPr>
          <w:highlight w:val="yellow"/>
        </w:rPr>
        <w:t>Cambridge City</w:t>
      </w:r>
      <w:r w:rsidRPr="0098730A">
        <w:rPr>
          <w:highlight w:val="yellow"/>
        </w:rPr>
        <w:tab/>
      </w:r>
      <w:r w:rsidRPr="0098730A">
        <w:rPr>
          <w:highlight w:val="yellow"/>
        </w:rPr>
        <w:tab/>
      </w:r>
      <w:r w:rsidRPr="0098730A">
        <w:rPr>
          <w:highlight w:val="yellow"/>
        </w:rPr>
        <w:tab/>
        <w:t>803</w:t>
      </w:r>
      <w:r w:rsidRPr="0098730A">
        <w:rPr>
          <w:highlight w:val="yellow"/>
        </w:rPr>
        <w:tab/>
      </w:r>
      <w:r w:rsidRPr="0098730A">
        <w:rPr>
          <w:highlight w:val="yellow"/>
        </w:rPr>
        <w:tab/>
      </w:r>
      <w:r w:rsidRPr="0098730A">
        <w:rPr>
          <w:highlight w:val="yellow"/>
        </w:rPr>
        <w:tab/>
        <w:t>17.5%</w:t>
      </w:r>
      <w:r w:rsidRPr="0098730A">
        <w:rPr>
          <w:highlight w:val="yellow"/>
        </w:rPr>
        <w:tab/>
      </w:r>
      <w:r w:rsidRPr="0098730A">
        <w:rPr>
          <w:highlight w:val="yellow"/>
        </w:rPr>
        <w:tab/>
      </w:r>
      <w:r w:rsidRPr="0098730A">
        <w:rPr>
          <w:highlight w:val="yellow"/>
        </w:rPr>
        <w:tab/>
      </w:r>
      <w:r w:rsidRPr="0098730A">
        <w:rPr>
          <w:highlight w:val="yellow"/>
        </w:rPr>
        <w:tab/>
        <w:t>7.18%</w:t>
      </w:r>
    </w:p>
    <w:p w:rsidR="00BA61A5" w:rsidRDefault="00BA61A5">
      <w:r>
        <w:t xml:space="preserve">Brent </w:t>
      </w:r>
      <w:r>
        <w:tab/>
      </w:r>
      <w:r>
        <w:tab/>
      </w:r>
      <w:r>
        <w:tab/>
      </w:r>
      <w:r>
        <w:tab/>
      </w:r>
      <w:r>
        <w:tab/>
        <w:t>2062</w:t>
      </w:r>
      <w:r>
        <w:tab/>
      </w:r>
      <w:r>
        <w:tab/>
      </w:r>
      <w:r>
        <w:tab/>
        <w:t>58%</w:t>
      </w:r>
      <w:r>
        <w:tab/>
      </w:r>
      <w:r>
        <w:tab/>
      </w:r>
      <w:r>
        <w:tab/>
      </w:r>
      <w:r>
        <w:tab/>
        <w:t>65%</w:t>
      </w:r>
    </w:p>
    <w:p w:rsidR="00BA61A5" w:rsidRDefault="00BA61A5">
      <w:r>
        <w:t>Southwark</w:t>
      </w:r>
      <w:r>
        <w:tab/>
      </w:r>
      <w:r>
        <w:tab/>
      </w:r>
      <w:r>
        <w:tab/>
      </w:r>
      <w:r>
        <w:tab/>
        <w:t>4150</w:t>
      </w:r>
      <w:r>
        <w:tab/>
      </w:r>
      <w:r>
        <w:tab/>
      </w:r>
      <w:r>
        <w:tab/>
        <w:t>46%</w:t>
      </w:r>
      <w:r>
        <w:tab/>
      </w:r>
      <w:r>
        <w:tab/>
      </w:r>
      <w:r>
        <w:tab/>
      </w:r>
      <w:r>
        <w:tab/>
        <w:t>51%</w:t>
      </w:r>
    </w:p>
    <w:p w:rsidR="00BA61A5" w:rsidRDefault="00BA61A5">
      <w:r>
        <w:t>Harrow</w:t>
      </w:r>
      <w:r>
        <w:tab/>
      </w:r>
      <w:r>
        <w:tab/>
      </w:r>
      <w:r>
        <w:tab/>
      </w:r>
      <w:r>
        <w:tab/>
        <w:t>2052</w:t>
      </w:r>
      <w:r>
        <w:tab/>
      </w:r>
      <w:r>
        <w:tab/>
      </w:r>
      <w:r>
        <w:tab/>
      </w:r>
      <w:r w:rsidR="00642C30">
        <w:t>58</w:t>
      </w:r>
      <w:r>
        <w:t>%</w:t>
      </w:r>
      <w:r>
        <w:tab/>
      </w:r>
      <w:r>
        <w:tab/>
      </w:r>
      <w:r>
        <w:tab/>
      </w:r>
      <w:r>
        <w:tab/>
        <w:t>49%</w:t>
      </w:r>
    </w:p>
    <w:p w:rsidR="00BA61A5" w:rsidRDefault="00BA61A5">
      <w:r>
        <w:t xml:space="preserve">Northampton Borough </w:t>
      </w:r>
      <w:r>
        <w:tab/>
      </w:r>
      <w:r>
        <w:tab/>
        <w:t>286</w:t>
      </w:r>
      <w:r w:rsidR="00F83C28">
        <w:tab/>
      </w:r>
      <w:r w:rsidR="00F83C28">
        <w:tab/>
      </w:r>
      <w:r w:rsidR="00F83C28">
        <w:tab/>
      </w:r>
      <w:r w:rsidR="00F83C28" w:rsidRPr="0098730A">
        <w:t>15%</w:t>
      </w:r>
      <w:r w:rsidR="00F83C28">
        <w:tab/>
      </w:r>
      <w:r w:rsidR="00F83C28">
        <w:tab/>
      </w:r>
      <w:r w:rsidR="00F83C28">
        <w:tab/>
      </w:r>
      <w:r w:rsidR="00F83C28">
        <w:tab/>
        <w:t>6%</w:t>
      </w:r>
    </w:p>
    <w:p w:rsidR="00BA61A5" w:rsidRDefault="00BA61A5">
      <w:r w:rsidRPr="006909D5">
        <w:rPr>
          <w:highlight w:val="yellow"/>
        </w:rPr>
        <w:t>Reading County</w:t>
      </w:r>
      <w:r w:rsidRPr="006909D5">
        <w:rPr>
          <w:highlight w:val="yellow"/>
        </w:rPr>
        <w:tab/>
      </w:r>
      <w:r w:rsidRPr="006909D5">
        <w:rPr>
          <w:highlight w:val="yellow"/>
        </w:rPr>
        <w:tab/>
      </w:r>
      <w:r w:rsidRPr="006909D5">
        <w:rPr>
          <w:highlight w:val="yellow"/>
        </w:rPr>
        <w:tab/>
        <w:t>4191</w:t>
      </w:r>
      <w:r w:rsidR="00F83C28" w:rsidRPr="006909D5">
        <w:rPr>
          <w:highlight w:val="yellow"/>
        </w:rPr>
        <w:tab/>
      </w:r>
      <w:r w:rsidR="00F83C28" w:rsidRPr="006909D5">
        <w:rPr>
          <w:highlight w:val="yellow"/>
        </w:rPr>
        <w:tab/>
      </w:r>
      <w:r w:rsidR="00F83C28" w:rsidRPr="006909D5">
        <w:rPr>
          <w:highlight w:val="yellow"/>
        </w:rPr>
        <w:tab/>
        <w:t>23%</w:t>
      </w:r>
      <w:r w:rsidR="00F83C28" w:rsidRPr="006909D5">
        <w:rPr>
          <w:highlight w:val="yellow"/>
        </w:rPr>
        <w:tab/>
      </w:r>
      <w:r w:rsidR="00F83C28" w:rsidRPr="006909D5">
        <w:rPr>
          <w:highlight w:val="yellow"/>
        </w:rPr>
        <w:tab/>
      </w:r>
      <w:r w:rsidR="00F83C28" w:rsidRPr="006909D5">
        <w:rPr>
          <w:highlight w:val="yellow"/>
        </w:rPr>
        <w:tab/>
      </w:r>
      <w:r w:rsidR="00F83C28" w:rsidRPr="006909D5">
        <w:rPr>
          <w:highlight w:val="yellow"/>
        </w:rPr>
        <w:tab/>
      </w:r>
      <w:r w:rsidR="0098730A">
        <w:rPr>
          <w:highlight w:val="yellow"/>
        </w:rPr>
        <w:t>16</w:t>
      </w:r>
      <w:r w:rsidR="00F83C28" w:rsidRPr="006909D5">
        <w:rPr>
          <w:highlight w:val="yellow"/>
        </w:rPr>
        <w:t>%</w:t>
      </w:r>
      <w:r w:rsidR="006909D5" w:rsidRPr="006909D5">
        <w:rPr>
          <w:highlight w:val="yellow"/>
        </w:rPr>
        <w:t xml:space="preserve"> </w:t>
      </w:r>
    </w:p>
    <w:p w:rsidR="00BA61A5" w:rsidRDefault="00BA61A5">
      <w:r>
        <w:t>South Oxfordshire &amp; VWH</w:t>
      </w:r>
      <w:r>
        <w:tab/>
      </w:r>
      <w:r>
        <w:tab/>
        <w:t>574</w:t>
      </w:r>
      <w:r w:rsidR="00F83C28">
        <w:tab/>
      </w:r>
      <w:r w:rsidR="00F83C28">
        <w:tab/>
      </w:r>
      <w:r w:rsidR="00F83C28">
        <w:tab/>
        <w:t>9%</w:t>
      </w:r>
      <w:r w:rsidR="00F83C28">
        <w:tab/>
      </w:r>
      <w:r w:rsidR="00F83C28">
        <w:tab/>
      </w:r>
      <w:r w:rsidR="00F83C28">
        <w:tab/>
      </w:r>
      <w:r w:rsidR="00F83C28">
        <w:tab/>
        <w:t>3%</w:t>
      </w:r>
    </w:p>
    <w:p w:rsidR="00BA61A5" w:rsidRDefault="00BA61A5">
      <w:r>
        <w:t>Plymouth City</w:t>
      </w:r>
      <w:r>
        <w:tab/>
      </w:r>
      <w:r>
        <w:tab/>
      </w:r>
      <w:r>
        <w:tab/>
        <w:t>2644</w:t>
      </w:r>
      <w:r w:rsidR="00F83C28">
        <w:tab/>
      </w:r>
      <w:r w:rsidR="00F83C28">
        <w:tab/>
      </w:r>
      <w:r w:rsidR="00F83C28">
        <w:tab/>
        <w:t>9%</w:t>
      </w:r>
      <w:r w:rsidR="00F83C28">
        <w:tab/>
      </w:r>
      <w:r w:rsidR="00F83C28">
        <w:tab/>
      </w:r>
      <w:r w:rsidR="00F83C28">
        <w:tab/>
      </w:r>
      <w:r w:rsidR="00F83C28">
        <w:tab/>
        <w:t>5%</w:t>
      </w:r>
    </w:p>
    <w:p w:rsidR="00BA61A5" w:rsidRDefault="00BA61A5">
      <w:r>
        <w:t>Salisbury County</w:t>
      </w:r>
      <w:r>
        <w:tab/>
      </w:r>
      <w:r>
        <w:tab/>
      </w:r>
      <w:r>
        <w:tab/>
        <w:t>4597</w:t>
      </w:r>
      <w:r w:rsidR="00F83C28">
        <w:tab/>
      </w:r>
      <w:r w:rsidR="00F83C28">
        <w:tab/>
      </w:r>
      <w:r w:rsidR="00F83C28">
        <w:tab/>
        <w:t>7%</w:t>
      </w:r>
      <w:r w:rsidR="00F83C28">
        <w:tab/>
      </w:r>
      <w:r w:rsidR="00F83C28">
        <w:tab/>
      </w:r>
      <w:r w:rsidR="00F83C28">
        <w:tab/>
      </w:r>
      <w:r w:rsidR="00F83C28">
        <w:tab/>
        <w:t>3%</w:t>
      </w:r>
    </w:p>
    <w:p w:rsidR="00775DF9" w:rsidRDefault="00775DF9">
      <w:pPr>
        <w:rPr>
          <w:b/>
        </w:rPr>
      </w:pPr>
    </w:p>
    <w:p w:rsidR="00BA61A5" w:rsidRPr="00775DF9" w:rsidRDefault="00775DF9">
      <w:r w:rsidRPr="00775DF9">
        <w:t xml:space="preserve">The two councils that appear to be closest comparators are Cambridge and Reading in terms of BAME </w:t>
      </w:r>
      <w:r w:rsidR="008404EA">
        <w:t xml:space="preserve">Census </w:t>
      </w:r>
      <w:r w:rsidRPr="00775DF9">
        <w:t xml:space="preserve">data. Despite </w:t>
      </w:r>
      <w:r>
        <w:t xml:space="preserve">Reading having more staff and Cambridge less the census BAME figures are similar. It is worth noting that between 2015 and 2016 Reading improved their BAME representation by </w:t>
      </w:r>
      <w:r w:rsidR="0098730A">
        <w:t>3</w:t>
      </w:r>
      <w:r>
        <w:t>% although no figures are published for 2017.</w:t>
      </w:r>
      <w:r w:rsidR="00BA61A5" w:rsidRPr="00775DF9">
        <w:br w:type="page"/>
      </w:r>
    </w:p>
    <w:p w:rsidR="00BA61A5" w:rsidRDefault="00BA61A5"/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051"/>
        <w:gridCol w:w="1295"/>
        <w:gridCol w:w="1051"/>
        <w:gridCol w:w="1295"/>
        <w:gridCol w:w="1051"/>
      </w:tblGrid>
      <w:tr w:rsidR="006479E4" w:rsidRPr="00BB10D7" w:rsidTr="00E703D7">
        <w:trPr>
          <w:trHeight w:val="315"/>
        </w:trPr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79E4" w:rsidRPr="00BB10D7" w:rsidRDefault="006479E4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79E4" w:rsidRPr="006479E4" w:rsidRDefault="006479E4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 w:rsidRPr="006479E4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Brackets indicate ODS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9E4" w:rsidRDefault="006479E4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79E4" w:rsidRDefault="006479E4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79E4" w:rsidRDefault="006479E4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79E4" w:rsidRDefault="006479E4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</w:tr>
      <w:tr w:rsidR="00D20868" w:rsidRPr="00BB10D7" w:rsidTr="00E703D7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D20868" w:rsidRPr="00BB10D7" w:rsidRDefault="00D20868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Ethnicity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D20868" w:rsidRDefault="00D20868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  <w:p w:rsidR="00D17AB0" w:rsidRPr="00BB10D7" w:rsidRDefault="004F29BE" w:rsidP="004F29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18.7</w:t>
            </w:r>
            <w:r w:rsidR="00D17AB0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% BAME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Default="00D20868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Cambridge City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4F29BE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2018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)</w:t>
            </w:r>
          </w:p>
          <w:p w:rsidR="00D17AB0" w:rsidRPr="00BB10D7" w:rsidRDefault="004F29BE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17.5</w:t>
            </w:r>
            <w:r w:rsidR="00D17AB0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% BAME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Default="00D20868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Brent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090691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2016)</w:t>
            </w:r>
          </w:p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58% BAME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Default="00D20868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Southwark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D17AB0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2016)</w:t>
            </w:r>
          </w:p>
          <w:p w:rsidR="00D17AB0" w:rsidRPr="004F29BE" w:rsidRDefault="004F29BE" w:rsidP="004F29BE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46</w:t>
            </w:r>
            <w:r w:rsidR="00D17AB0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% BAME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Default="00D20868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Harrow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5B6F16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  <w:p w:rsidR="00D17AB0" w:rsidRPr="00BB10D7" w:rsidRDefault="00D17AB0" w:rsidP="008E086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</w:t>
            </w:r>
            <w:r w:rsidR="008E0864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 xml:space="preserve"> 57</w:t>
            </w:r>
            <w:r w:rsidR="006479E4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.</w:t>
            </w:r>
            <w:r w:rsidR="008E0864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8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% BAME</w:t>
            </w:r>
          </w:p>
        </w:tc>
      </w:tr>
      <w:tr w:rsidR="00D20868" w:rsidRPr="00BB10D7" w:rsidTr="00D20868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20868" w:rsidRPr="00BB10D7" w:rsidRDefault="00D20868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D20868" w:rsidTr="00D20868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8" w:rsidRPr="00BB10D7" w:rsidRDefault="00D20868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8" w:rsidRDefault="00D2086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8" w:rsidRDefault="00D2086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  <w:r w:rsidR="004F29BE">
              <w:rPr>
                <w:sz w:val="20"/>
                <w:szCs w:val="20"/>
              </w:rPr>
              <w:t xml:space="preserve"> (565)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09069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09069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5B6F1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5B6F1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47611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96170C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</w:tr>
      <w:tr w:rsidR="00D20868" w:rsidTr="00D20868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8" w:rsidRPr="00BB10D7" w:rsidRDefault="00D20868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B</w:t>
            </w: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A</w:t>
            </w: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8" w:rsidRDefault="00D2086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8" w:rsidRDefault="00D2086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4F29BE">
              <w:rPr>
                <w:sz w:val="20"/>
                <w:szCs w:val="20"/>
              </w:rPr>
              <w:t xml:space="preserve"> (36)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D2086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D2086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5B6F1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5B6F1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47611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96170C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</w:tr>
      <w:tr w:rsidR="00D20868" w:rsidTr="00D20868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8" w:rsidRPr="00BB10D7" w:rsidRDefault="00D20868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Unspecified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8" w:rsidRDefault="00D2086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8" w:rsidRDefault="00D2086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4F29BE">
              <w:rPr>
                <w:sz w:val="20"/>
                <w:szCs w:val="20"/>
              </w:rPr>
              <w:t xml:space="preserve"> (39)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09069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09069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5B6F1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5B6F1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96170C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868" w:rsidRDefault="0096170C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D20868" w:rsidRPr="00BB10D7" w:rsidTr="00D20868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20868" w:rsidRPr="00BB10D7" w:rsidRDefault="00D20868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</w:t>
            </w:r>
            <w:r w:rsidR="004F29BE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Pr="00BB10D7" w:rsidRDefault="00090691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80</w:t>
            </w:r>
            <w:r w:rsidR="00D20868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Pr="00BB10D7" w:rsidRDefault="00090691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2062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Pr="00BB10D7" w:rsidRDefault="00D17AB0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4150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Pr="00BB10D7" w:rsidRDefault="00D2086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D20868" w:rsidRPr="00BB10D7" w:rsidRDefault="0096170C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2052</w:t>
            </w:r>
          </w:p>
        </w:tc>
      </w:tr>
    </w:tbl>
    <w:p w:rsidR="005B6F16" w:rsidRDefault="005B6F16" w:rsidP="008A22C6"/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051"/>
        <w:gridCol w:w="1295"/>
        <w:gridCol w:w="1051"/>
        <w:gridCol w:w="1295"/>
        <w:gridCol w:w="1051"/>
      </w:tblGrid>
      <w:tr w:rsidR="005B6F16" w:rsidRPr="00BB10D7" w:rsidTr="00130BD5">
        <w:trPr>
          <w:trHeight w:val="3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B6F16" w:rsidRPr="00BB10D7" w:rsidRDefault="008F483C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Sex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Cambridge City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Default="005B6F16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Brent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2016)</w:t>
            </w:r>
          </w:p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58% BAME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Southwark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D17AB0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Harrow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</w:tr>
      <w:tr w:rsidR="005B6F16" w:rsidRPr="00BB10D7" w:rsidTr="00130BD5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5B6F16" w:rsidTr="005B6F16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Pr="00BB10D7" w:rsidRDefault="0096170C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35.29 (11.72)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(75)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96170C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</w:tr>
      <w:tr w:rsidR="005B6F16" w:rsidTr="005B6F16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Pr="00BB10D7" w:rsidRDefault="00D17AB0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Male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6479E4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64.71 (88.28)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6479E4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(565)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4F29BE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4F29BE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4F29BE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4F29BE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4F29BE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4F29BE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4F29BE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</w:tr>
      <w:tr w:rsidR="005B6F16" w:rsidRPr="00BB10D7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</w:t>
            </w:r>
            <w:r w:rsidR="004F29BE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803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2062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D17AB0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4150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D17AB0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2052</w:t>
            </w:r>
          </w:p>
        </w:tc>
      </w:tr>
    </w:tbl>
    <w:p w:rsidR="008A22C6" w:rsidRDefault="008A22C6" w:rsidP="005B6F16"/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051"/>
        <w:gridCol w:w="1295"/>
        <w:gridCol w:w="1051"/>
        <w:gridCol w:w="1295"/>
        <w:gridCol w:w="1051"/>
      </w:tblGrid>
      <w:tr w:rsidR="005B6F16" w:rsidRPr="00BB10D7" w:rsidTr="00130BD5">
        <w:trPr>
          <w:trHeight w:val="3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B6F16" w:rsidRPr="00BB10D7" w:rsidRDefault="005B6F16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Disability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Cambridge City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Default="005B6F16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Brent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2016)</w:t>
            </w:r>
          </w:p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Southwark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D17AB0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Harrow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</w:tr>
      <w:tr w:rsidR="005B6F16" w:rsidRPr="00BB10D7" w:rsidTr="00130BD5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5B6F16" w:rsidTr="005B6F16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Pr="00BB10D7" w:rsidRDefault="00D17AB0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Disabled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 (7.34)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(47)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5B6F16" w:rsidRPr="00BB10D7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</w:t>
            </w:r>
            <w:r w:rsidR="004F29BE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803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2062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</w:tr>
    </w:tbl>
    <w:p w:rsidR="005B6F16" w:rsidRDefault="005B6F16" w:rsidP="005B6F16"/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051"/>
        <w:gridCol w:w="1295"/>
        <w:gridCol w:w="1051"/>
        <w:gridCol w:w="1295"/>
        <w:gridCol w:w="1051"/>
      </w:tblGrid>
      <w:tr w:rsidR="005B6F16" w:rsidRPr="00BB10D7" w:rsidTr="00130BD5">
        <w:trPr>
          <w:trHeight w:val="3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B6F16" w:rsidRPr="00BB10D7" w:rsidRDefault="005B6F16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Sexual Orientation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Cambridge City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Default="005B6F16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Brent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2016)</w:t>
            </w:r>
          </w:p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Southwark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D17AB0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Harrow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</w:tr>
      <w:tr w:rsidR="005B6F16" w:rsidRPr="00BB10D7" w:rsidTr="00130BD5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5B6F16" w:rsidTr="005B6F16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Pr="00BB10D7" w:rsidRDefault="00D17AB0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Het</w:t>
            </w:r>
            <w:r w:rsidR="00476111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e</w:t>
            </w: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rosexual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62.27 (58.13)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(372)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</w:tr>
      <w:tr w:rsidR="005B6F16" w:rsidTr="005B6F16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Pr="00BB10D7" w:rsidRDefault="00D17AB0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Gay/Lesbian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(0.47)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(3)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B6F16" w:rsidTr="005B6F16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Pr="00BB10D7" w:rsidRDefault="00D17AB0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Prefer not to 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36.82 (41.41)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6F16" w:rsidRDefault="00D17AB0" w:rsidP="00D1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(265)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F16" w:rsidRDefault="00D17AB0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</w:tc>
      </w:tr>
      <w:tr w:rsidR="005B6F16" w:rsidRPr="00BB10D7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</w:t>
            </w:r>
            <w:r w:rsidR="004F29BE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803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2062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D17AB0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4150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5B6F1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5B6F16" w:rsidRPr="00BB10D7" w:rsidRDefault="00D17AB0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2052</w:t>
            </w:r>
          </w:p>
        </w:tc>
      </w:tr>
    </w:tbl>
    <w:p w:rsidR="00654BBB" w:rsidRDefault="00654BBB" w:rsidP="005B6F16"/>
    <w:p w:rsidR="00654BBB" w:rsidRDefault="00654BBB">
      <w:r>
        <w:br w:type="page"/>
      </w:r>
    </w:p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175"/>
        <w:gridCol w:w="1639"/>
        <w:gridCol w:w="1763"/>
      </w:tblGrid>
      <w:tr w:rsidR="001B185F" w:rsidRPr="00BB10D7" w:rsidTr="00386259">
        <w:trPr>
          <w:trHeight w:val="315"/>
        </w:trPr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185F" w:rsidRPr="006479E4" w:rsidRDefault="001B185F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 w:rsidRPr="006479E4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Brackets indicate ODS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185F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B185F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B185F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</w:tr>
      <w:tr w:rsidR="001B185F" w:rsidRPr="00BB10D7" w:rsidTr="00386259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Ethnicity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B185F" w:rsidRDefault="001B185F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18.7% BAME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Default="001B185F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Northampton BC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eastAsia="en-GB"/>
              </w:rPr>
              <w:t>(2016)</w:t>
            </w:r>
          </w:p>
          <w:p w:rsidR="001B185F" w:rsidRPr="00BB10D7" w:rsidRDefault="001B185F" w:rsidP="001B185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15% BAME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Default="001B185F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Reading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2016)</w:t>
            </w:r>
          </w:p>
          <w:p w:rsidR="001B185F" w:rsidRPr="00BB10D7" w:rsidRDefault="00386259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23</w:t>
            </w:r>
            <w:r w:rsidR="001B185F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% BAME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Default="001B185F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South Oxfordshire &amp; VWH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</w:t>
            </w:r>
            <w:r w:rsidR="00F10CC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7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)</w:t>
            </w:r>
          </w:p>
          <w:p w:rsidR="001B185F" w:rsidRPr="004F29BE" w:rsidRDefault="00AF2926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9</w:t>
            </w:r>
            <w:r w:rsidR="001B185F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% BAME</w:t>
            </w:r>
          </w:p>
        </w:tc>
      </w:tr>
      <w:tr w:rsidR="001B185F" w:rsidRPr="00BB10D7" w:rsidTr="00386259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1B185F" w:rsidTr="0038625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85F" w:rsidRPr="00BB10D7" w:rsidRDefault="001B185F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 (565)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98730A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98730A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F10CC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AF292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1B185F" w:rsidTr="0038625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85F" w:rsidRPr="00BB10D7" w:rsidRDefault="001B185F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B</w:t>
            </w: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A</w:t>
            </w: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(36)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Pr="005F78F8" w:rsidRDefault="0098730A" w:rsidP="00130BD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Pr="005F78F8" w:rsidRDefault="0098730A" w:rsidP="00130BD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F10CC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AF292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B185F" w:rsidTr="0038625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85F" w:rsidRPr="00BB10D7" w:rsidRDefault="001B185F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Unspecified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(39)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F10CC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030C6C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F10CC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AF292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</w:tr>
      <w:tr w:rsidR="001B185F" w:rsidRPr="00BB10D7" w:rsidTr="0038625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F10CC8" w:rsidRDefault="001B185F" w:rsidP="00130BD5">
            <w:pPr>
              <w:jc w:val="center"/>
              <w:rPr>
                <w:rFonts w:eastAsia="Times New Roman"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5F78F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4191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F10CC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574</w:t>
            </w:r>
          </w:p>
        </w:tc>
      </w:tr>
    </w:tbl>
    <w:p w:rsidR="00654BBB" w:rsidRDefault="00654BBB" w:rsidP="00654BBB"/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175"/>
        <w:gridCol w:w="1639"/>
        <w:gridCol w:w="1763"/>
      </w:tblGrid>
      <w:tr w:rsidR="001B185F" w:rsidRPr="00BB10D7" w:rsidTr="00386259">
        <w:trPr>
          <w:trHeight w:val="3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B185F" w:rsidRPr="00BB10D7" w:rsidRDefault="008F483C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Sex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386259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Northampton BC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386259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Reading Council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386259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South Oxfordshire &amp; VWH</w:t>
            </w:r>
          </w:p>
        </w:tc>
      </w:tr>
      <w:tr w:rsidR="001B185F" w:rsidRPr="00BB10D7" w:rsidTr="00386259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1B185F" w:rsidTr="0038625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Pr="00BB10D7" w:rsidRDefault="001B185F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35.29 (11.72)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(75)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386259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386259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C07E7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C07E7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F10CC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E703D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</w:tr>
      <w:tr w:rsidR="001B185F" w:rsidTr="0038625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Pr="00BB10D7" w:rsidRDefault="001B185F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Male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64.71 (88.28)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(565)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386259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386259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Pr="006909D5" w:rsidRDefault="00C07E77" w:rsidP="00130BD5">
            <w:pPr>
              <w:jc w:val="center"/>
              <w:rPr>
                <w:sz w:val="20"/>
                <w:szCs w:val="20"/>
              </w:rPr>
            </w:pPr>
            <w:r w:rsidRPr="006909D5">
              <w:rPr>
                <w:sz w:val="20"/>
                <w:szCs w:val="20"/>
              </w:rPr>
              <w:t>21.8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Pr="006909D5" w:rsidRDefault="00C07E77" w:rsidP="00130BD5">
            <w:pPr>
              <w:jc w:val="center"/>
              <w:rPr>
                <w:sz w:val="20"/>
                <w:szCs w:val="20"/>
              </w:rPr>
            </w:pPr>
            <w:r w:rsidRPr="006909D5">
              <w:rPr>
                <w:sz w:val="20"/>
                <w:szCs w:val="20"/>
              </w:rPr>
              <w:t>915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F10CC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E703D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1B185F" w:rsidRPr="00BB10D7" w:rsidTr="0038625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386259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C07E77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4191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F10CC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574</w:t>
            </w:r>
          </w:p>
        </w:tc>
      </w:tr>
    </w:tbl>
    <w:p w:rsidR="00654BBB" w:rsidRDefault="00654BBB" w:rsidP="00654BBB"/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175"/>
        <w:gridCol w:w="1639"/>
        <w:gridCol w:w="1763"/>
      </w:tblGrid>
      <w:tr w:rsidR="001B185F" w:rsidRPr="00BB10D7" w:rsidTr="00386259">
        <w:trPr>
          <w:trHeight w:val="3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Disability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Northampton BC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386259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Reading Council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386259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South Oxfordshire &amp; VWH</w:t>
            </w:r>
          </w:p>
        </w:tc>
      </w:tr>
      <w:tr w:rsidR="001B185F" w:rsidRPr="00BB10D7" w:rsidTr="00386259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1B185F" w:rsidTr="0038625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Pr="00BB10D7" w:rsidRDefault="001B185F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Disabled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 (7.34)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(47)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C07E7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C07E7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C07E7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AF292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E703D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B185F" w:rsidRPr="00BB10D7" w:rsidTr="0038625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C07E77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4191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AF2926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97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F10CC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574</w:t>
            </w:r>
          </w:p>
        </w:tc>
      </w:tr>
    </w:tbl>
    <w:p w:rsidR="00654BBB" w:rsidRDefault="00654BBB" w:rsidP="00654BBB"/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175"/>
        <w:gridCol w:w="1639"/>
        <w:gridCol w:w="1763"/>
      </w:tblGrid>
      <w:tr w:rsidR="001B185F" w:rsidRPr="00BB10D7" w:rsidTr="00386259">
        <w:trPr>
          <w:trHeight w:val="3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Sexual Orientation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386259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Northampton BC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386259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Reading Council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386259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South Oxfordshire &amp; VWH</w:t>
            </w:r>
          </w:p>
        </w:tc>
      </w:tr>
      <w:tr w:rsidR="001B185F" w:rsidRPr="00BB10D7" w:rsidTr="00386259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1B185F" w:rsidTr="00C07E77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Pr="00BB10D7" w:rsidRDefault="00130BD5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Heterosexual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62.27 (58.13)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(372)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1B185F" w:rsidP="001B1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F10CC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C07E7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AF292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E703D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1B185F" w:rsidTr="0038625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Pr="00BB10D7" w:rsidRDefault="001B185F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Gay/Lesbian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(0.47)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(3)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386259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F10CC8" w:rsidP="00F1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C07E7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AF292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E703D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185F" w:rsidTr="00C07E77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Pr="00BB10D7" w:rsidRDefault="001B185F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Prefer not to 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36.82 (41.41)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85F" w:rsidRDefault="001B185F" w:rsidP="0013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(265)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B185F" w:rsidRDefault="001B185F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F10CC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F10CC8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AF2926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85F" w:rsidRDefault="00E703D7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</w:tr>
      <w:tr w:rsidR="001B185F" w:rsidRPr="00BB10D7" w:rsidTr="0038625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386259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C07E77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4191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1B185F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B185F" w:rsidRPr="00BB10D7" w:rsidRDefault="00F10CC8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574</w:t>
            </w:r>
          </w:p>
        </w:tc>
      </w:tr>
    </w:tbl>
    <w:p w:rsidR="00386259" w:rsidRDefault="00386259" w:rsidP="005B6F16"/>
    <w:p w:rsidR="00130BD5" w:rsidRDefault="00130BD5" w:rsidP="005B6F16"/>
    <w:p w:rsidR="00130BD5" w:rsidRDefault="00130BD5" w:rsidP="005B6F16"/>
    <w:p w:rsidR="00130BD5" w:rsidRDefault="00130BD5" w:rsidP="005B6F16"/>
    <w:p w:rsidR="00130BD5" w:rsidRDefault="00130BD5" w:rsidP="005B6F16"/>
    <w:p w:rsidR="00130BD5" w:rsidRDefault="00130BD5" w:rsidP="005B6F16"/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051"/>
        <w:gridCol w:w="1295"/>
        <w:gridCol w:w="1051"/>
        <w:gridCol w:w="1295"/>
        <w:gridCol w:w="1051"/>
      </w:tblGrid>
      <w:tr w:rsidR="00130BD5" w:rsidRPr="00BB10D7" w:rsidTr="00130BD5">
        <w:trPr>
          <w:trHeight w:val="315"/>
        </w:trPr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0BD5" w:rsidRPr="006479E4" w:rsidRDefault="00130BD5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 w:rsidRPr="006479E4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Brackets indicate ODS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0BD5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30BD5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30BD5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30BD5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</w:tr>
      <w:tr w:rsidR="00130BD5" w:rsidRPr="00BB10D7" w:rsidTr="00130BD5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Ethnicity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30BD5" w:rsidRDefault="00130BD5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18.7% BAME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Default="00130BD5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Plymouth City 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  <w:p w:rsidR="00130BD5" w:rsidRPr="00BB10D7" w:rsidRDefault="007931FB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8.5</w:t>
            </w:r>
            <w:r w:rsidR="00130BD5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% BAME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Default="00235F02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Salisbury County</w:t>
            </w:r>
            <w:r w:rsidR="00130BD5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 </w:t>
            </w:r>
            <w:r w:rsidR="00130BD5"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130BD5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16)</w:t>
            </w:r>
          </w:p>
          <w:p w:rsidR="00130BD5" w:rsidRPr="00BB10D7" w:rsidRDefault="00E36DB1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6.7</w:t>
            </w:r>
            <w:r w:rsidR="00130BD5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% BAME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Default="00130BD5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2016)</w:t>
            </w:r>
          </w:p>
          <w:p w:rsidR="00130BD5" w:rsidRPr="004F29BE" w:rsidRDefault="00130BD5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46% BAME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Default="00130BD5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Census 71.9% BAME</w:t>
            </w:r>
          </w:p>
        </w:tc>
      </w:tr>
      <w:tr w:rsidR="00130BD5" w:rsidRPr="00BB10D7" w:rsidTr="00130BD5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130BD5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BD5" w:rsidRPr="00BB10D7" w:rsidRDefault="00130BD5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 (565)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7931FB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7931FB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E36DB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E36DB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</w:tr>
      <w:tr w:rsidR="00130BD5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BD5" w:rsidRPr="00BB10D7" w:rsidRDefault="00130BD5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B</w:t>
            </w: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A</w:t>
            </w: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(36)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7931FB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7931FB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E36DB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E36DB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</w:tr>
      <w:tr w:rsidR="00130BD5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BD5" w:rsidRPr="00BB10D7" w:rsidRDefault="00130BD5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Unspecified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(39)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7931FB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7931FB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E36DB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E36DB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</w:tr>
      <w:tr w:rsidR="00130BD5" w:rsidRPr="00BB10D7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2644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E36DB1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4597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</w:tr>
    </w:tbl>
    <w:p w:rsidR="00130BD5" w:rsidRDefault="00130BD5" w:rsidP="00130BD5"/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051"/>
        <w:gridCol w:w="1295"/>
        <w:gridCol w:w="1051"/>
        <w:gridCol w:w="1295"/>
        <w:gridCol w:w="1051"/>
      </w:tblGrid>
      <w:tr w:rsidR="00130BD5" w:rsidRPr="00BB10D7" w:rsidTr="00130BD5">
        <w:trPr>
          <w:trHeight w:val="3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30BD5" w:rsidRPr="00BB10D7" w:rsidRDefault="008F483C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Sex</w:t>
            </w:r>
            <w:bookmarkStart w:id="0" w:name="_GoBack"/>
            <w:bookmarkEnd w:id="0"/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Plymouth City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Default="00E36DB1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Salisbury</w:t>
            </w:r>
            <w:r w:rsidR="00130BD5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 </w:t>
            </w:r>
            <w:r w:rsidRPr="00E36DB1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130BD5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16)</w:t>
            </w:r>
          </w:p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</w:tr>
      <w:tr w:rsidR="00130BD5" w:rsidRPr="00BB10D7" w:rsidTr="00130BD5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130BD5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Pr="00BB10D7" w:rsidRDefault="00130BD5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35.29 (11.72)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(75)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E36DB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E36DB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</w:tr>
      <w:tr w:rsidR="00130BD5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Pr="00BB10D7" w:rsidRDefault="00130BD5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Male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64.71 (88.28)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(565)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E36DB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E36DB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</w:tr>
      <w:tr w:rsidR="00130BD5" w:rsidRPr="00BB10D7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2644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E36DB1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4597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</w:tr>
    </w:tbl>
    <w:p w:rsidR="00130BD5" w:rsidRDefault="00130BD5" w:rsidP="00130BD5"/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051"/>
        <w:gridCol w:w="1295"/>
        <w:gridCol w:w="1051"/>
        <w:gridCol w:w="1295"/>
        <w:gridCol w:w="1051"/>
      </w:tblGrid>
      <w:tr w:rsidR="00130BD5" w:rsidRPr="00BB10D7" w:rsidTr="00130BD5">
        <w:trPr>
          <w:trHeight w:val="3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Disability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Plymouth City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Default="00E36DB1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Salisbury County</w:t>
            </w:r>
            <w:r w:rsidR="00130BD5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 </w:t>
            </w:r>
            <w:r w:rsidR="00130BD5"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130BD5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16)</w:t>
            </w:r>
          </w:p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k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Harrow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</w:tr>
      <w:tr w:rsidR="00130BD5" w:rsidRPr="00BB10D7" w:rsidTr="00130BD5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130BD5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Pr="00BB10D7" w:rsidRDefault="00130BD5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Disabled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 (7.34)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(47)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7931FB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7931FB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E36DB1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6DB1" w:rsidRDefault="00E36DB1" w:rsidP="00E36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</w:tr>
      <w:tr w:rsidR="00130BD5" w:rsidRPr="00BB10D7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803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E36DB1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4597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</w:tr>
    </w:tbl>
    <w:p w:rsidR="00130BD5" w:rsidRDefault="00130BD5" w:rsidP="00130BD5"/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1860"/>
        <w:gridCol w:w="1560"/>
        <w:gridCol w:w="1277"/>
        <w:gridCol w:w="1295"/>
        <w:gridCol w:w="1051"/>
        <w:gridCol w:w="1295"/>
        <w:gridCol w:w="1051"/>
        <w:gridCol w:w="1295"/>
        <w:gridCol w:w="1051"/>
        <w:gridCol w:w="1295"/>
        <w:gridCol w:w="1051"/>
      </w:tblGrid>
      <w:tr w:rsidR="00130BD5" w:rsidRPr="00BB10D7" w:rsidTr="00130BD5">
        <w:trPr>
          <w:trHeight w:val="3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Sexual Orientation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Oxford City Council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Plymouth City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Default="00E36DB1" w:rsidP="00130BD5">
            <w:pPr>
              <w:jc w:val="center"/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Salisbury County</w:t>
            </w:r>
            <w:r w:rsidR="00130BD5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 </w:t>
            </w:r>
            <w:r w:rsidR="00130BD5"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130BD5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16)</w:t>
            </w:r>
          </w:p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Southwark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2016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 xml:space="preserve">Harrow </w:t>
            </w:r>
            <w:r w:rsidRPr="00D20868"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(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eastAsia="en-GB"/>
              </w:rPr>
              <w:t>2017)</w:t>
            </w:r>
          </w:p>
        </w:tc>
      </w:tr>
      <w:tr w:rsidR="00130BD5" w:rsidRPr="00BB10D7" w:rsidTr="00130BD5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Percentage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Number</w:t>
            </w:r>
          </w:p>
        </w:tc>
      </w:tr>
      <w:tr w:rsidR="00130BD5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Pr="00BB10D7" w:rsidRDefault="00130BD5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Het</w:t>
            </w:r>
            <w:r w:rsidR="00476111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e</w:t>
            </w: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rosexual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62.27 (58.13)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(372)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6F34A2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6F34A2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</w:tr>
      <w:tr w:rsidR="00130BD5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Pr="00BB10D7" w:rsidRDefault="00130BD5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Gay/Lesbian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(0.47)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(3)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7931FB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6F34A2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6F34A2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</w:tr>
      <w:tr w:rsidR="00130BD5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Pr="00BB10D7" w:rsidRDefault="00130BD5" w:rsidP="00130BD5">
            <w:pPr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Prefer not to 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36.82 (41.41)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BD5" w:rsidRDefault="00130BD5" w:rsidP="0013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(265)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6F34A2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6F34A2" w:rsidP="00130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BD5" w:rsidRDefault="00130BD5" w:rsidP="00130BD5">
            <w:pPr>
              <w:jc w:val="center"/>
              <w:rPr>
                <w:sz w:val="20"/>
                <w:szCs w:val="20"/>
              </w:rPr>
            </w:pPr>
          </w:p>
        </w:tc>
      </w:tr>
      <w:tr w:rsidR="00130BD5" w:rsidRPr="00BB10D7" w:rsidTr="00130BD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BB10D7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12 (640)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E36DB1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  <w:t>4597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130BD5" w:rsidRPr="00BB10D7" w:rsidRDefault="00130BD5" w:rsidP="00130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en-GB"/>
              </w:rPr>
            </w:pPr>
          </w:p>
        </w:tc>
      </w:tr>
    </w:tbl>
    <w:p w:rsidR="00386259" w:rsidRDefault="00386259">
      <w:r>
        <w:br w:type="page"/>
      </w:r>
    </w:p>
    <w:p w:rsidR="005B6F16" w:rsidRDefault="00386259" w:rsidP="005B6F16">
      <w:pPr>
        <w:rPr>
          <w:b/>
        </w:rPr>
      </w:pPr>
      <w:r w:rsidRPr="00386259">
        <w:rPr>
          <w:b/>
        </w:rPr>
        <w:lastRenderedPageBreak/>
        <w:t>Actions of other authorities</w:t>
      </w:r>
    </w:p>
    <w:p w:rsidR="00386259" w:rsidRDefault="00386259" w:rsidP="005B6F16">
      <w:pPr>
        <w:rPr>
          <w:b/>
        </w:rPr>
      </w:pPr>
    </w:p>
    <w:p w:rsidR="00386259" w:rsidRDefault="00386259" w:rsidP="005B6F16">
      <w:r>
        <w:t xml:space="preserve">Northampton BC </w:t>
      </w:r>
    </w:p>
    <w:p w:rsidR="00386259" w:rsidRDefault="00386259" w:rsidP="00386259">
      <w:pPr>
        <w:pStyle w:val="ListParagraph"/>
        <w:numPr>
          <w:ilvl w:val="0"/>
          <w:numId w:val="1"/>
        </w:numPr>
      </w:pPr>
      <w:r>
        <w:t>Validation of selection tests to ensure they are reliable and culture free</w:t>
      </w:r>
    </w:p>
    <w:p w:rsidR="00386259" w:rsidRDefault="00386259" w:rsidP="00386259">
      <w:pPr>
        <w:pStyle w:val="ListParagraph"/>
        <w:numPr>
          <w:ilvl w:val="0"/>
          <w:numId w:val="1"/>
        </w:numPr>
      </w:pPr>
      <w:r>
        <w:t>Continue to monitor</w:t>
      </w:r>
    </w:p>
    <w:p w:rsidR="00386259" w:rsidRDefault="00386259" w:rsidP="00386259">
      <w:pPr>
        <w:pStyle w:val="ListParagraph"/>
        <w:numPr>
          <w:ilvl w:val="0"/>
          <w:numId w:val="1"/>
        </w:numPr>
      </w:pPr>
      <w:r>
        <w:t>Review dignity at work policy</w:t>
      </w:r>
    </w:p>
    <w:p w:rsidR="00386259" w:rsidRDefault="00386259" w:rsidP="00386259">
      <w:pPr>
        <w:pStyle w:val="ListParagraph"/>
        <w:numPr>
          <w:ilvl w:val="0"/>
          <w:numId w:val="1"/>
        </w:numPr>
      </w:pPr>
      <w:r>
        <w:t>Use the findings of the Stonewall report</w:t>
      </w:r>
    </w:p>
    <w:p w:rsidR="00AF2926" w:rsidRDefault="00AF2926" w:rsidP="00386259"/>
    <w:p w:rsidR="00386259" w:rsidRDefault="00386259" w:rsidP="00386259">
      <w:r>
        <w:t>Reading BC</w:t>
      </w:r>
    </w:p>
    <w:p w:rsidR="00386259" w:rsidRDefault="00386259" w:rsidP="00386259">
      <w:pPr>
        <w:pStyle w:val="ListParagraph"/>
        <w:numPr>
          <w:ilvl w:val="0"/>
          <w:numId w:val="2"/>
        </w:numPr>
      </w:pPr>
      <w:r>
        <w:t>Named disability senior sponsor and champion</w:t>
      </w:r>
    </w:p>
    <w:p w:rsidR="00386259" w:rsidRDefault="00C07E77" w:rsidP="00386259">
      <w:pPr>
        <w:pStyle w:val="ListParagraph"/>
        <w:numPr>
          <w:ilvl w:val="0"/>
          <w:numId w:val="2"/>
        </w:numPr>
      </w:pPr>
      <w:r>
        <w:t>Introduce a virtual steering group</w:t>
      </w:r>
    </w:p>
    <w:p w:rsidR="00C07E77" w:rsidRDefault="00C07E77" w:rsidP="00386259">
      <w:pPr>
        <w:pStyle w:val="ListParagraph"/>
        <w:numPr>
          <w:ilvl w:val="0"/>
          <w:numId w:val="2"/>
        </w:numPr>
      </w:pPr>
      <w:r>
        <w:t>Disability awareness programme</w:t>
      </w:r>
    </w:p>
    <w:p w:rsidR="00C07E77" w:rsidRDefault="00C07E77" w:rsidP="00386259">
      <w:pPr>
        <w:pStyle w:val="ListParagraph"/>
        <w:numPr>
          <w:ilvl w:val="0"/>
          <w:numId w:val="2"/>
        </w:numPr>
      </w:pPr>
      <w:r>
        <w:t>Guidance on reasonable adjustment</w:t>
      </w:r>
    </w:p>
    <w:p w:rsidR="00C07E77" w:rsidRDefault="00C07E77" w:rsidP="00AF2926"/>
    <w:p w:rsidR="00AF2926" w:rsidRDefault="00AF2926" w:rsidP="00AF2926">
      <w:r>
        <w:t>South Oxfordshire &amp; VWH</w:t>
      </w:r>
    </w:p>
    <w:p w:rsidR="00AF2926" w:rsidRDefault="00AF2926" w:rsidP="00AF2926">
      <w:pPr>
        <w:pStyle w:val="ListParagraph"/>
        <w:numPr>
          <w:ilvl w:val="0"/>
          <w:numId w:val="3"/>
        </w:numPr>
      </w:pPr>
      <w:r>
        <w:t>Promote completion of equality data by staff</w:t>
      </w:r>
    </w:p>
    <w:p w:rsidR="00AF2926" w:rsidRPr="00386259" w:rsidRDefault="00AF2926" w:rsidP="00AF2926">
      <w:pPr>
        <w:pStyle w:val="ListParagraph"/>
        <w:numPr>
          <w:ilvl w:val="0"/>
          <w:numId w:val="3"/>
        </w:numPr>
      </w:pPr>
      <w:r>
        <w:t>Review of recruitment processes and procedures</w:t>
      </w:r>
    </w:p>
    <w:sectPr w:rsidR="00AF2926" w:rsidRPr="00386259" w:rsidSect="005B6F16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50"/>
    <w:multiLevelType w:val="hybridMultilevel"/>
    <w:tmpl w:val="BB1EF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527E4"/>
    <w:multiLevelType w:val="hybridMultilevel"/>
    <w:tmpl w:val="05FA9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285A"/>
    <w:multiLevelType w:val="hybridMultilevel"/>
    <w:tmpl w:val="9D3CB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B954C0"/>
    <w:multiLevelType w:val="hybridMultilevel"/>
    <w:tmpl w:val="1C986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68"/>
    <w:rsid w:val="00030C6C"/>
    <w:rsid w:val="00090691"/>
    <w:rsid w:val="000B4310"/>
    <w:rsid w:val="00130BD5"/>
    <w:rsid w:val="00171A3E"/>
    <w:rsid w:val="001B185F"/>
    <w:rsid w:val="00224D28"/>
    <w:rsid w:val="00235F02"/>
    <w:rsid w:val="00386259"/>
    <w:rsid w:val="00386B12"/>
    <w:rsid w:val="003B600D"/>
    <w:rsid w:val="004000D7"/>
    <w:rsid w:val="00476111"/>
    <w:rsid w:val="004F29BE"/>
    <w:rsid w:val="00504E43"/>
    <w:rsid w:val="00554EE6"/>
    <w:rsid w:val="005B6F16"/>
    <w:rsid w:val="005F78F8"/>
    <w:rsid w:val="00642C30"/>
    <w:rsid w:val="006479E4"/>
    <w:rsid w:val="00654BBB"/>
    <w:rsid w:val="006909D5"/>
    <w:rsid w:val="006F34A2"/>
    <w:rsid w:val="00775DF9"/>
    <w:rsid w:val="007908F4"/>
    <w:rsid w:val="007931FB"/>
    <w:rsid w:val="008404EA"/>
    <w:rsid w:val="008A22C6"/>
    <w:rsid w:val="008E0864"/>
    <w:rsid w:val="008F483C"/>
    <w:rsid w:val="0096170C"/>
    <w:rsid w:val="0098730A"/>
    <w:rsid w:val="00AA3C31"/>
    <w:rsid w:val="00AF2926"/>
    <w:rsid w:val="00BA61A5"/>
    <w:rsid w:val="00C07E77"/>
    <w:rsid w:val="00C07F80"/>
    <w:rsid w:val="00D17AB0"/>
    <w:rsid w:val="00D20868"/>
    <w:rsid w:val="00D93FAD"/>
    <w:rsid w:val="00E36DB1"/>
    <w:rsid w:val="00E703D7"/>
    <w:rsid w:val="00F10CC8"/>
    <w:rsid w:val="00F6500A"/>
    <w:rsid w:val="00F83C28"/>
    <w:rsid w:val="00FB113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D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C9BA-A85F-4516-964E-8FF3677B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A413DD27</Template>
  <TotalTime>2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charvey</dc:creator>
  <cp:lastModifiedBy>hbishop</cp:lastModifiedBy>
  <cp:revision>3</cp:revision>
  <cp:lastPrinted>2018-07-18T12:49:00Z</cp:lastPrinted>
  <dcterms:created xsi:type="dcterms:W3CDTF">2018-10-12T10:18:00Z</dcterms:created>
  <dcterms:modified xsi:type="dcterms:W3CDTF">2018-10-12T10:19:00Z</dcterms:modified>
</cp:coreProperties>
</file>